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3" w:rsidRDefault="004C4913" w:rsidP="00214015">
      <w:pPr>
        <w:jc w:val="center"/>
        <w:rPr>
          <w:b/>
          <w:sz w:val="24"/>
          <w:szCs w:val="24"/>
        </w:rPr>
      </w:pPr>
    </w:p>
    <w:p w:rsidR="00AA3182" w:rsidRPr="000F6AC9" w:rsidRDefault="00AA3182" w:rsidP="00AA3182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214015" w:rsidRPr="004C4913" w:rsidRDefault="00AA3182" w:rsidP="00214015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KLIENTI</w:t>
      </w:r>
    </w:p>
    <w:p w:rsidR="00214015" w:rsidRDefault="00214015" w:rsidP="00214015">
      <w:pPr>
        <w:jc w:val="both"/>
        <w:rPr>
          <w:b/>
        </w:rPr>
      </w:pPr>
    </w:p>
    <w:p w:rsidR="004C4913" w:rsidRDefault="004C4913" w:rsidP="00214015">
      <w:pPr>
        <w:jc w:val="both"/>
        <w:rPr>
          <w:b/>
        </w:rPr>
      </w:pPr>
    </w:p>
    <w:p w:rsidR="00AA3182" w:rsidRPr="00AA3182" w:rsidRDefault="00AA3182" w:rsidP="00AA318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AA3182" w:rsidRPr="00AA3182" w:rsidRDefault="00AA3182" w:rsidP="00AA318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AA3182" w:rsidRPr="00AA3182" w:rsidRDefault="00AA3182" w:rsidP="00AA3182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Bezpečnosť Vašich osobných údajov je pre nás veľmi dôležitá, preto s nimi zaobchádzame veľmi starostlivo. Cieľom tejto informácie je poskytnúť Vám informácie o tom, aké osobné údaje o Vás spracúvame na účely evidencie našich</w:t>
      </w:r>
      <w:r w:rsidR="009F6F04">
        <w:rPr>
          <w:rFonts w:ascii="Palatino Linotype" w:hAnsi="Palatino Linotype"/>
          <w:b/>
          <w:sz w:val="22"/>
          <w:szCs w:val="22"/>
        </w:rPr>
        <w:t xml:space="preserve"> </w:t>
      </w:r>
      <w:r w:rsidRPr="00AA3182">
        <w:rPr>
          <w:rFonts w:ascii="Palatino Linotype" w:hAnsi="Palatino Linotype"/>
          <w:b/>
          <w:sz w:val="22"/>
          <w:szCs w:val="22"/>
        </w:rPr>
        <w:t>klientov, ako s nimi zaobchádzame, komu ich môžeme poskytnúť, kde môžete získať ďalšie informácie o Vašich osobných údajoch a uplatniť Vaše práva pri spracúvaní osobných údajov.</w:t>
      </w:r>
    </w:p>
    <w:p w:rsidR="00AA3182" w:rsidRPr="00AA3182" w:rsidRDefault="00AA3182" w:rsidP="00AA318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AA3182" w:rsidRPr="00AA3182" w:rsidRDefault="00AA3182" w:rsidP="009F6F04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AA3182">
        <w:rPr>
          <w:rFonts w:ascii="Palatino Linotype" w:hAnsi="Palatino Linotype"/>
          <w:sz w:val="22"/>
          <w:szCs w:val="22"/>
        </w:rPr>
        <w:t>Z.z</w:t>
      </w:r>
      <w:proofErr w:type="spellEnd"/>
      <w:r w:rsidRPr="00AA3182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AA3182" w:rsidRPr="00AA3182" w:rsidRDefault="00AA3182" w:rsidP="009F6F0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214015" w:rsidRPr="00AA3182" w:rsidRDefault="00214015" w:rsidP="009F6F04">
      <w:pPr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Spracúvanie osobných údajov dotknutých osôb – klientov prevádzkovateľa za účelom identifikácie klienta pri poskytovaní služieb.</w:t>
      </w:r>
    </w:p>
    <w:p w:rsidR="00214015" w:rsidRPr="00AA3182" w:rsidRDefault="00214015" w:rsidP="009F6F0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Osobné údaje sa spracovávajú na základe článku 6 ods. 1 písm. b) </w:t>
      </w:r>
      <w:r w:rsidRPr="00AA3182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AA3182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AA3182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214015" w:rsidRPr="00AA3182" w:rsidRDefault="00214015" w:rsidP="009F6F04">
      <w:pPr>
        <w:spacing w:before="20" w:after="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214015" w:rsidRPr="00AA3182" w:rsidRDefault="009F6F04" w:rsidP="009F6F04">
      <w:pPr>
        <w:pStyle w:val="Normlnweb"/>
        <w:spacing w:before="23"/>
        <w:jc w:val="both"/>
        <w:rPr>
          <w:rFonts w:ascii="Palatino Linotype" w:hAnsi="Palatino Linotype"/>
          <w:sz w:val="22"/>
          <w:szCs w:val="22"/>
        </w:rPr>
      </w:pPr>
      <w:r w:rsidRPr="003B013F">
        <w:rPr>
          <w:rFonts w:ascii="Palatino Linotype" w:hAnsi="Palatino Linotype"/>
          <w:sz w:val="22"/>
          <w:szCs w:val="22"/>
        </w:rPr>
        <w:t>Meno, priezvisko, titul</w:t>
      </w:r>
      <w:r w:rsidR="003B013F">
        <w:rPr>
          <w:rFonts w:ascii="Palatino Linotype" w:hAnsi="Palatino Linotype"/>
          <w:sz w:val="22"/>
          <w:szCs w:val="22"/>
        </w:rPr>
        <w:t>, adresa, telefón.</w:t>
      </w:r>
    </w:p>
    <w:p w:rsidR="00214015" w:rsidRDefault="00214015" w:rsidP="009F6F0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9F6F04" w:rsidRDefault="009F6F04" w:rsidP="009F6F0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3B013F" w:rsidRPr="00AA3182" w:rsidRDefault="003B013F" w:rsidP="009F6F04">
      <w:pPr>
        <w:jc w:val="both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</w:p>
    <w:p w:rsidR="00214015" w:rsidRPr="00AA3182" w:rsidRDefault="00214015" w:rsidP="009F6F0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Dotknuté osoby: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Klienti prevádzkovateľa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AA3182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214015" w:rsidRPr="009F6F04" w:rsidRDefault="009F6F04" w:rsidP="009F6F04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F6F04">
        <w:rPr>
          <w:rFonts w:ascii="Palatino Linotype" w:eastAsia="Calibri" w:hAnsi="Palatino Linotype"/>
          <w:sz w:val="22"/>
          <w:szCs w:val="22"/>
          <w:lang w:eastAsia="sk-SK"/>
        </w:rPr>
        <w:t>Osobné údaje sa spracovávajú najviac po dobu 10 rokov.</w:t>
      </w:r>
    </w:p>
    <w:p w:rsidR="00214015" w:rsidRPr="00AA3182" w:rsidRDefault="00214015" w:rsidP="009F6F0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14015" w:rsidRPr="00AA3182" w:rsidRDefault="00214015" w:rsidP="009F6F0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4C4913" w:rsidRPr="00AA3182" w:rsidRDefault="00214015" w:rsidP="009F6F04">
      <w:pPr>
        <w:pStyle w:val="Normlnweb"/>
        <w:spacing w:before="23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Spracúvanie osobných údajov za účelom oprávnených záujmov prevádzkovateľa sa nevykonáva.</w:t>
      </w:r>
    </w:p>
    <w:p w:rsidR="004C4913" w:rsidRPr="00AA3182" w:rsidRDefault="004C4913" w:rsidP="009F6F04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4C4913" w:rsidRPr="00AA3182" w:rsidRDefault="004C4913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4C4913" w:rsidRPr="00AA3182" w:rsidRDefault="004C4913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4C4913" w:rsidRPr="00AA3182" w:rsidRDefault="004C4913" w:rsidP="009F6F04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4C4913" w:rsidRDefault="004C4913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327D7E" w:rsidRPr="00AA3182" w:rsidRDefault="00327D7E" w:rsidP="009F6F04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A3182" w:rsidRPr="00AA3182" w:rsidRDefault="00AA3182" w:rsidP="009F6F04">
      <w:pPr>
        <w:pStyle w:val="Normlnweb"/>
        <w:numPr>
          <w:ilvl w:val="0"/>
          <w:numId w:val="2"/>
        </w:numPr>
        <w:spacing w:before="23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AA3182" w:rsidRDefault="00AA3182" w:rsidP="009F6F04">
      <w:pPr>
        <w:pStyle w:val="Normlnweb"/>
        <w:spacing w:before="2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327D7E" w:rsidRDefault="00327D7E" w:rsidP="00AA3182">
      <w:pPr>
        <w:pStyle w:val="Normlnweb"/>
        <w:spacing w:before="23"/>
        <w:rPr>
          <w:rFonts w:ascii="Palatino Linotype" w:hAnsi="Palatino Linotype"/>
          <w:sz w:val="22"/>
          <w:szCs w:val="22"/>
        </w:rPr>
      </w:pPr>
    </w:p>
    <w:p w:rsidR="00214015" w:rsidRPr="00AA3182" w:rsidRDefault="00214015" w:rsidP="004C4913">
      <w:pPr>
        <w:pStyle w:val="Odstavecseseznamem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4C4913" w:rsidRPr="00AA3182" w:rsidRDefault="004C4913" w:rsidP="004C4913">
      <w:pPr>
        <w:pStyle w:val="Odstavecseseznamem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85"/>
      </w:tblGrid>
      <w:tr w:rsidR="004C4913" w:rsidRPr="00AA3182" w:rsidTr="009F6F04">
        <w:tc>
          <w:tcPr>
            <w:tcW w:w="4395" w:type="dxa"/>
            <w:shd w:val="clear" w:color="auto" w:fill="FFF2CC" w:themeFill="accent4" w:themeFillTint="33"/>
          </w:tcPr>
          <w:p w:rsidR="004C4913" w:rsidRPr="00AA3182" w:rsidRDefault="004C4913" w:rsidP="004C4913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b/>
                <w:sz w:val="22"/>
                <w:szCs w:val="22"/>
              </w:rPr>
              <w:t xml:space="preserve">Tretie strany </w:t>
            </w:r>
          </w:p>
        </w:tc>
        <w:tc>
          <w:tcPr>
            <w:tcW w:w="4785" w:type="dxa"/>
            <w:shd w:val="clear" w:color="auto" w:fill="FFF2CC" w:themeFill="accent4" w:themeFillTint="33"/>
          </w:tcPr>
          <w:p w:rsidR="004C4913" w:rsidRPr="00AA3182" w:rsidRDefault="004C4913" w:rsidP="004C4913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4C4913" w:rsidRPr="00AA3182" w:rsidTr="009F6F04">
        <w:tc>
          <w:tcPr>
            <w:tcW w:w="4395" w:type="dxa"/>
            <w:shd w:val="clear" w:color="auto" w:fill="DEEAF6" w:themeFill="accent1" w:themeFillTint="33"/>
          </w:tcPr>
          <w:p w:rsidR="004C4913" w:rsidRPr="00AA3182" w:rsidRDefault="004C4913" w:rsidP="004C4913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785" w:type="dxa"/>
            <w:shd w:val="clear" w:color="auto" w:fill="DEEAF6" w:themeFill="accent1" w:themeFillTint="33"/>
          </w:tcPr>
          <w:p w:rsidR="004C4913" w:rsidRPr="00AA3182" w:rsidRDefault="004C4913" w:rsidP="004C4913">
            <w:pPr>
              <w:autoSpaceDE w:val="0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AA3182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4C4913" w:rsidRPr="00AA3182" w:rsidTr="009F6F04">
        <w:tc>
          <w:tcPr>
            <w:tcW w:w="4395" w:type="dxa"/>
            <w:shd w:val="clear" w:color="auto" w:fill="DEEAF6" w:themeFill="accent1" w:themeFillTint="33"/>
          </w:tcPr>
          <w:p w:rsidR="004C4913" w:rsidRPr="00AA3182" w:rsidRDefault="004C4913" w:rsidP="004C4913">
            <w:pPr>
              <w:pStyle w:val="Odstavecseseznamem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Iný prevádzkovateľ (sprostredkovateľ )</w:t>
            </w:r>
          </w:p>
        </w:tc>
        <w:tc>
          <w:tcPr>
            <w:tcW w:w="4785" w:type="dxa"/>
            <w:shd w:val="clear" w:color="auto" w:fill="DEEAF6" w:themeFill="accent1" w:themeFillTint="33"/>
          </w:tcPr>
          <w:p w:rsidR="004C4913" w:rsidRPr="00AA3182" w:rsidRDefault="004C4913" w:rsidP="004C4913">
            <w:pPr>
              <w:autoSpaceDE w:val="0"/>
              <w:rPr>
                <w:rFonts w:ascii="Palatino Linotype" w:hAnsi="Palatino Linotype"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 Rady (EÚ) 2016/679 o ochrane fyzických osôb pri spracúvaní osobných údajov a o voľnom pohybe takýchto údajov, ktorým sa zrušuje smernica 95/46/ES (všeobecné nariadenie o ochrane údajov).</w:t>
            </w:r>
          </w:p>
        </w:tc>
      </w:tr>
    </w:tbl>
    <w:p w:rsidR="004C4913" w:rsidRPr="00AA3182" w:rsidRDefault="004C4913" w:rsidP="004C4913">
      <w:pPr>
        <w:pStyle w:val="Odstavecseseznamem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p w:rsidR="00214015" w:rsidRPr="00AA3182" w:rsidRDefault="00214015" w:rsidP="00214015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sectPr w:rsidR="00214015" w:rsidRPr="00AA3182" w:rsidSect="00A21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97" w:rsidRDefault="007A4A97" w:rsidP="004C4913">
      <w:r>
        <w:separator/>
      </w:r>
    </w:p>
  </w:endnote>
  <w:endnote w:type="continuationSeparator" w:id="0">
    <w:p w:rsidR="007A4A97" w:rsidRDefault="007A4A97" w:rsidP="004C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97" w:rsidRDefault="007A4A97" w:rsidP="004C4913">
      <w:r>
        <w:separator/>
      </w:r>
    </w:p>
  </w:footnote>
  <w:footnote w:type="continuationSeparator" w:id="0">
    <w:p w:rsidR="007A4A97" w:rsidRDefault="007A4A97" w:rsidP="004C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13" w:rsidRDefault="00AA3182">
    <w:pPr>
      <w:pStyle w:val="Zhlav"/>
    </w:pPr>
    <w:r w:rsidRPr="006205C2">
      <w:rPr>
        <w:rFonts w:ascii="Palatino Linotype" w:hAnsi="Palatino Linotype"/>
        <w:sz w:val="22"/>
        <w:szCs w:val="22"/>
      </w:rPr>
      <w:t>Informačná povinnosť</w:t>
    </w:r>
    <w:r w:rsidR="004C4913">
      <w:tab/>
    </w:r>
    <w:r w:rsidR="004C4913">
      <w:tab/>
    </w:r>
    <w:r>
      <w:rPr>
        <w:noProof/>
        <w:lang w:eastAsia="sk-SK"/>
      </w:rPr>
      <w:drawing>
        <wp:inline distT="0" distB="0" distL="0" distR="0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8F4"/>
    <w:multiLevelType w:val="hybridMultilevel"/>
    <w:tmpl w:val="45F06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525F1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985278"/>
    <w:multiLevelType w:val="hybridMultilevel"/>
    <w:tmpl w:val="45F06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5"/>
    <w:rsid w:val="001F1ABE"/>
    <w:rsid w:val="00210EB8"/>
    <w:rsid w:val="00214015"/>
    <w:rsid w:val="00327D7E"/>
    <w:rsid w:val="003B013F"/>
    <w:rsid w:val="004C4913"/>
    <w:rsid w:val="007A4A97"/>
    <w:rsid w:val="009F6F04"/>
    <w:rsid w:val="00A21825"/>
    <w:rsid w:val="00A454D0"/>
    <w:rsid w:val="00AA3182"/>
    <w:rsid w:val="00C2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015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015"/>
    <w:pPr>
      <w:ind w:left="708"/>
    </w:pPr>
  </w:style>
  <w:style w:type="paragraph" w:styleId="Normlnweb">
    <w:name w:val="Normal (Web)"/>
    <w:basedOn w:val="Normln"/>
    <w:rsid w:val="00214015"/>
    <w:pPr>
      <w:spacing w:after="120"/>
    </w:pPr>
    <w:rPr>
      <w:color w:val="auto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4C4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913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4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913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A318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EB8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015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015"/>
    <w:pPr>
      <w:ind w:left="708"/>
    </w:pPr>
  </w:style>
  <w:style w:type="paragraph" w:styleId="Normlnweb">
    <w:name w:val="Normal (Web)"/>
    <w:basedOn w:val="Normln"/>
    <w:rsid w:val="00214015"/>
    <w:pPr>
      <w:spacing w:after="120"/>
    </w:pPr>
    <w:rPr>
      <w:color w:val="auto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4C4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913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4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913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A318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EB8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4</cp:revision>
  <dcterms:created xsi:type="dcterms:W3CDTF">2020-04-28T11:39:00Z</dcterms:created>
  <dcterms:modified xsi:type="dcterms:W3CDTF">2020-04-28T11:41:00Z</dcterms:modified>
</cp:coreProperties>
</file>