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F0" w:rsidRDefault="00AA08F0" w:rsidP="00A04F92">
      <w:pPr>
        <w:pStyle w:val="Odstavecseseznamem"/>
        <w:jc w:val="center"/>
        <w:rPr>
          <w:b/>
          <w:sz w:val="24"/>
          <w:szCs w:val="24"/>
        </w:rPr>
      </w:pPr>
    </w:p>
    <w:p w:rsidR="007F7443" w:rsidRPr="002A0C2A" w:rsidRDefault="007513AD" w:rsidP="007F7443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INFORMAČNÝ SYSTÉM</w:t>
      </w:r>
    </w:p>
    <w:p w:rsidR="007F7443" w:rsidRPr="001867A0" w:rsidRDefault="007F7443" w:rsidP="007F744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2A0C2A">
        <w:rPr>
          <w:rFonts w:ascii="Palatino Linotype" w:hAnsi="Palatino Linotype"/>
          <w:b/>
          <w:sz w:val="24"/>
          <w:szCs w:val="24"/>
          <w:u w:val="single"/>
        </w:rPr>
        <w:t>ÚČTOVN</w:t>
      </w:r>
      <w:r w:rsidR="002A0C2A" w:rsidRPr="002A0C2A">
        <w:rPr>
          <w:rFonts w:ascii="Palatino Linotype" w:hAnsi="Palatino Linotype"/>
          <w:b/>
          <w:sz w:val="24"/>
          <w:szCs w:val="24"/>
          <w:u w:val="single"/>
        </w:rPr>
        <w:t>É DOKLADY</w:t>
      </w:r>
    </w:p>
    <w:p w:rsidR="007F7443" w:rsidRDefault="007F7443" w:rsidP="007F7443">
      <w:pPr>
        <w:pStyle w:val="Odstavecseseznamem"/>
        <w:jc w:val="both"/>
        <w:rPr>
          <w:rFonts w:ascii="Palatino Linotype" w:hAnsi="Palatino Linotype"/>
          <w:b/>
          <w:sz w:val="22"/>
          <w:szCs w:val="22"/>
        </w:rPr>
      </w:pPr>
    </w:p>
    <w:p w:rsidR="00D75448" w:rsidRPr="00D75448" w:rsidRDefault="00D75448" w:rsidP="00D7544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5448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D75448" w:rsidRPr="00D75448" w:rsidRDefault="00D75448" w:rsidP="00D7544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D75448" w:rsidRPr="00D75448" w:rsidRDefault="00D75448" w:rsidP="00D75448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D75448">
        <w:rPr>
          <w:rFonts w:ascii="Palatino Linotype" w:hAnsi="Palatino Linotype"/>
          <w:b/>
          <w:sz w:val="22"/>
          <w:szCs w:val="22"/>
        </w:rPr>
        <w:t xml:space="preserve">Bezpečnosť Vašich osobných údajov je pre nás veľmi dôležitá, preto s nimi zaobchádzame veľmi starostlivo. Cieľom tejto informácie je poskytnúť Vám informácie o tom, aké osobné údaje o Vás spracúvame na účely </w:t>
      </w:r>
      <w:r>
        <w:rPr>
          <w:rFonts w:ascii="Palatino Linotype" w:hAnsi="Palatino Linotype"/>
          <w:b/>
          <w:sz w:val="22"/>
          <w:szCs w:val="22"/>
        </w:rPr>
        <w:t>evidencie účtovných dokladov</w:t>
      </w:r>
      <w:r w:rsidRPr="00D75448">
        <w:rPr>
          <w:rFonts w:ascii="Palatino Linotype" w:hAnsi="Palatino Linotype"/>
          <w:b/>
          <w:sz w:val="22"/>
          <w:szCs w:val="22"/>
        </w:rPr>
        <w:t>, ako s nimi zaobchádzame, komu ich môžeme poskytnúť, kde môžete získať ďalšie informácie o Vašich osobných údajoch a uplatniť Vaše práva pri spracúvaní osobných údajov.</w:t>
      </w:r>
    </w:p>
    <w:p w:rsidR="00D75448" w:rsidRPr="00D75448" w:rsidRDefault="00D75448" w:rsidP="00D75448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D75448" w:rsidRPr="00D75448" w:rsidRDefault="00D75448" w:rsidP="00D75448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D75448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D75448">
        <w:rPr>
          <w:rFonts w:ascii="Palatino Linotype" w:hAnsi="Palatino Linotype"/>
          <w:sz w:val="22"/>
          <w:szCs w:val="22"/>
        </w:rPr>
        <w:t>Z.z</w:t>
      </w:r>
      <w:proofErr w:type="spellEnd"/>
      <w:r w:rsidRPr="00D75448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D75448" w:rsidRPr="00D75448" w:rsidRDefault="00D75448" w:rsidP="00D75448">
      <w:pPr>
        <w:jc w:val="both"/>
        <w:rPr>
          <w:b/>
        </w:rPr>
      </w:pPr>
    </w:p>
    <w:p w:rsidR="00D75448" w:rsidRPr="002A0C2A" w:rsidRDefault="00D75448" w:rsidP="007F7443">
      <w:pPr>
        <w:pStyle w:val="Odstavecseseznamem"/>
        <w:jc w:val="both"/>
        <w:rPr>
          <w:rFonts w:ascii="Palatino Linotype" w:hAnsi="Palatino Linotype"/>
          <w:b/>
          <w:sz w:val="22"/>
          <w:szCs w:val="22"/>
        </w:rPr>
      </w:pPr>
    </w:p>
    <w:p w:rsidR="00A04F92" w:rsidRPr="002A0C2A" w:rsidRDefault="00A04F92" w:rsidP="002A0C2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A04F92" w:rsidRPr="002A0C2A" w:rsidRDefault="00A04F92" w:rsidP="002A0C2A">
      <w:pPr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 xml:space="preserve">Spracúvanie osobných údajov dotknutých osôb za účelom fakturácie dotknutých osôb, vedenia účtovných dokladov, zmlúv a objednávok klientov  pri zavedení a plnení predzmluvných a zmluvných vzťahov. 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A04F92" w:rsidRPr="002A0C2A" w:rsidRDefault="00A04F92" w:rsidP="002A0C2A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Osobné údaje sa spracovávajú na základe článku 6 ods. 1 písm.</w:t>
      </w:r>
      <w:r w:rsidR="00BC506B">
        <w:rPr>
          <w:rFonts w:ascii="Palatino Linotype" w:hAnsi="Palatino Linotype"/>
          <w:sz w:val="22"/>
          <w:szCs w:val="22"/>
        </w:rPr>
        <w:t xml:space="preserve"> b) a</w:t>
      </w:r>
      <w:r w:rsidRPr="002A0C2A">
        <w:rPr>
          <w:rFonts w:ascii="Palatino Linotype" w:hAnsi="Palatino Linotype"/>
          <w:sz w:val="22"/>
          <w:szCs w:val="22"/>
        </w:rPr>
        <w:t xml:space="preserve"> c) </w:t>
      </w:r>
      <w:r w:rsidRPr="002A0C2A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A04F92" w:rsidRPr="002A0C2A" w:rsidRDefault="00A04F92" w:rsidP="002A0C2A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2A0C2A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A04F92" w:rsidRPr="002A0C2A" w:rsidRDefault="00A04F92" w:rsidP="002A0C2A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2A0C2A">
        <w:rPr>
          <w:rFonts w:ascii="Palatino Linotype" w:eastAsia="Calibri" w:hAnsi="Palatino Linotype"/>
          <w:sz w:val="22"/>
          <w:szCs w:val="22"/>
          <w:lang w:eastAsia="sk-SK"/>
        </w:rPr>
        <w:t>Zákon č. 431/2002 Z. z. o účtovníctve v znení neskorších predpisov</w:t>
      </w:r>
      <w:r w:rsidR="00613519">
        <w:rPr>
          <w:rFonts w:ascii="Palatino Linotype" w:eastAsia="Calibri" w:hAnsi="Palatino Linotype"/>
          <w:sz w:val="22"/>
          <w:szCs w:val="22"/>
          <w:lang w:eastAsia="sk-SK"/>
        </w:rPr>
        <w:t>.</w:t>
      </w:r>
    </w:p>
    <w:p w:rsidR="00A04F92" w:rsidRPr="002A0C2A" w:rsidRDefault="00A04F92" w:rsidP="002A0C2A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2A0C2A">
        <w:rPr>
          <w:rFonts w:ascii="Palatino Linotype" w:eastAsia="Calibri" w:hAnsi="Palatino Linotype"/>
          <w:sz w:val="22"/>
          <w:szCs w:val="22"/>
          <w:lang w:eastAsia="sk-SK"/>
        </w:rPr>
        <w:t>Zákon č. 222/2004 Z. z. o dani z pridanej hodnoty v znení neskorších predpisov</w:t>
      </w:r>
      <w:r w:rsidR="00613519">
        <w:rPr>
          <w:rFonts w:ascii="Palatino Linotype" w:eastAsia="Calibri" w:hAnsi="Palatino Linotype"/>
          <w:sz w:val="22"/>
          <w:szCs w:val="22"/>
          <w:lang w:eastAsia="sk-SK"/>
        </w:rPr>
        <w:t>.</w:t>
      </w:r>
    </w:p>
    <w:p w:rsidR="00A04F92" w:rsidRPr="002A0C2A" w:rsidRDefault="00A04F92" w:rsidP="002A0C2A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2A0C2A">
        <w:rPr>
          <w:rFonts w:ascii="Palatino Linotype" w:eastAsia="Calibri" w:hAnsi="Palatino Linotype"/>
          <w:sz w:val="22"/>
          <w:szCs w:val="22"/>
          <w:lang w:eastAsia="sk-SK"/>
        </w:rPr>
        <w:t>Zákon č. 18/2018 Z. z. o ochrane osobných údajov a o zmene a doplnení niektorých zákonov</w:t>
      </w:r>
      <w:r w:rsidR="00613519">
        <w:rPr>
          <w:rFonts w:ascii="Palatino Linotype" w:eastAsia="Calibri" w:hAnsi="Palatino Linotype"/>
          <w:sz w:val="22"/>
          <w:szCs w:val="22"/>
          <w:lang w:eastAsia="sk-SK"/>
        </w:rPr>
        <w:t>.</w:t>
      </w:r>
    </w:p>
    <w:p w:rsidR="00A04F92" w:rsidRPr="002A0C2A" w:rsidRDefault="00A04F92" w:rsidP="002A0C2A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2A0C2A">
        <w:rPr>
          <w:rFonts w:ascii="Palatino Linotype" w:eastAsia="Calibri" w:hAnsi="Palatino Linotype"/>
          <w:sz w:val="22"/>
          <w:szCs w:val="22"/>
          <w:lang w:eastAsia="sk-SK"/>
        </w:rPr>
        <w:t>Zákon č. 145/1995 Z. z. o správnych poplatkoch v znení neskorších predpisov</w:t>
      </w:r>
      <w:r w:rsidR="00613519">
        <w:rPr>
          <w:rFonts w:ascii="Palatino Linotype" w:eastAsia="Calibri" w:hAnsi="Palatino Linotype"/>
          <w:sz w:val="22"/>
          <w:szCs w:val="22"/>
          <w:lang w:eastAsia="sk-SK"/>
        </w:rPr>
        <w:t>.</w:t>
      </w:r>
    </w:p>
    <w:p w:rsidR="00A04F92" w:rsidRPr="002A0C2A" w:rsidRDefault="00A04F92" w:rsidP="002A0C2A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2A0C2A">
        <w:rPr>
          <w:rFonts w:ascii="Palatino Linotype" w:eastAsia="Calibri" w:hAnsi="Palatino Linotype"/>
          <w:sz w:val="22"/>
          <w:szCs w:val="22"/>
          <w:lang w:eastAsia="sk-SK"/>
        </w:rPr>
        <w:lastRenderedPageBreak/>
        <w:t>Zákon č. 40/1964 Zb. Občiansky zákonník v znení neskorších predpisov</w:t>
      </w:r>
      <w:r w:rsidR="00613519">
        <w:rPr>
          <w:rFonts w:ascii="Palatino Linotype" w:eastAsia="Calibri" w:hAnsi="Palatino Linotype"/>
          <w:sz w:val="22"/>
          <w:szCs w:val="22"/>
          <w:lang w:eastAsia="sk-SK"/>
        </w:rPr>
        <w:t>.</w:t>
      </w:r>
    </w:p>
    <w:p w:rsidR="00A04F92" w:rsidRDefault="00A04F92" w:rsidP="002A0C2A">
      <w:pPr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2A0C2A">
        <w:rPr>
          <w:rFonts w:ascii="Palatino Linotype" w:eastAsia="Calibri" w:hAnsi="Palatino Linotype"/>
          <w:sz w:val="22"/>
          <w:szCs w:val="22"/>
          <w:lang w:eastAsia="sk-SK"/>
        </w:rPr>
        <w:t>Zákon</w:t>
      </w:r>
      <w:r w:rsidRPr="002A0C2A">
        <w:rPr>
          <w:rFonts w:ascii="Palatino Linotype" w:hAnsi="Palatino Linotype"/>
          <w:bCs/>
          <w:kern w:val="36"/>
          <w:sz w:val="22"/>
          <w:szCs w:val="22"/>
          <w:lang w:eastAsia="sk-SK"/>
        </w:rPr>
        <w:t xml:space="preserve"> č. 513/1991 Zb. Obchodný zákonník </w:t>
      </w:r>
      <w:r w:rsidRPr="002A0C2A">
        <w:rPr>
          <w:rFonts w:ascii="Palatino Linotype" w:eastAsia="Calibri" w:hAnsi="Palatino Linotype"/>
          <w:sz w:val="22"/>
          <w:szCs w:val="22"/>
          <w:lang w:eastAsia="sk-SK"/>
        </w:rPr>
        <w:t>v znení neskorších predpisov</w:t>
      </w:r>
      <w:r w:rsidR="00613519">
        <w:rPr>
          <w:rFonts w:ascii="Palatino Linotype" w:eastAsia="Calibri" w:hAnsi="Palatino Linotype"/>
          <w:sz w:val="22"/>
          <w:szCs w:val="22"/>
          <w:lang w:eastAsia="sk-SK"/>
        </w:rPr>
        <w:t>.</w:t>
      </w:r>
    </w:p>
    <w:p w:rsidR="001B0485" w:rsidRPr="002A0C2A" w:rsidRDefault="001B0485" w:rsidP="002A0C2A">
      <w:pPr>
        <w:jc w:val="both"/>
        <w:rPr>
          <w:rFonts w:ascii="Palatino Linotype" w:hAnsi="Palatino Linotype"/>
          <w:sz w:val="22"/>
          <w:szCs w:val="22"/>
        </w:rPr>
      </w:pPr>
      <w:r w:rsidRPr="001B0485">
        <w:rPr>
          <w:rFonts w:ascii="Palatino Linotype" w:hAnsi="Palatino Linotype"/>
          <w:sz w:val="22"/>
          <w:szCs w:val="22"/>
        </w:rPr>
        <w:t>Zákon č. 595/2003 Z. z.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1B0485">
        <w:rPr>
          <w:rFonts w:ascii="Palatino Linotype" w:hAnsi="Palatino Linotype"/>
          <w:sz w:val="22"/>
          <w:szCs w:val="22"/>
        </w:rPr>
        <w:t>Zákon o dani z</w:t>
      </w:r>
      <w:r>
        <w:rPr>
          <w:rFonts w:ascii="Palatino Linotype" w:hAnsi="Palatino Linotype"/>
          <w:sz w:val="22"/>
          <w:szCs w:val="22"/>
        </w:rPr>
        <w:t> </w:t>
      </w:r>
      <w:r w:rsidRPr="001B0485">
        <w:rPr>
          <w:rFonts w:ascii="Palatino Linotype" w:hAnsi="Palatino Linotype"/>
          <w:sz w:val="22"/>
          <w:szCs w:val="22"/>
        </w:rPr>
        <w:t>príjmov</w:t>
      </w:r>
      <w:r>
        <w:rPr>
          <w:rFonts w:ascii="Palatino Linotype" w:hAnsi="Palatino Linotype"/>
          <w:sz w:val="22"/>
          <w:szCs w:val="22"/>
        </w:rPr>
        <w:t>.</w:t>
      </w:r>
    </w:p>
    <w:p w:rsidR="00A04F92" w:rsidRPr="002A0C2A" w:rsidRDefault="00A04F92" w:rsidP="002A0C2A">
      <w:pPr>
        <w:jc w:val="both"/>
        <w:rPr>
          <w:rFonts w:ascii="Palatino Linotype" w:hAnsi="Palatino Linotype"/>
          <w:sz w:val="22"/>
          <w:szCs w:val="22"/>
        </w:rPr>
      </w:pPr>
    </w:p>
    <w:p w:rsidR="00A04F92" w:rsidRPr="00BC506B" w:rsidRDefault="00A04F92" w:rsidP="002A0C2A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BC506B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BC506B">
        <w:rPr>
          <w:rFonts w:ascii="Palatino Linotype" w:hAnsi="Palatino Linotype"/>
          <w:sz w:val="22"/>
          <w:szCs w:val="22"/>
          <w:shd w:val="clear" w:color="auto" w:fill="FAFBFF"/>
        </w:rPr>
        <w:t>Me</w:t>
      </w:r>
      <w:bookmarkStart w:id="0" w:name="_GoBack"/>
      <w:bookmarkEnd w:id="0"/>
      <w:r w:rsidRPr="00BC506B">
        <w:rPr>
          <w:rFonts w:ascii="Palatino Linotype" w:hAnsi="Palatino Linotype"/>
          <w:sz w:val="22"/>
          <w:szCs w:val="22"/>
          <w:shd w:val="clear" w:color="auto" w:fill="FAFBFF"/>
        </w:rPr>
        <w:t xml:space="preserve">no a priezvisko zdaniteľnej osoby alebo názov zdaniteľnej osoby, adresu jej sídla, miesta podnikania, prevádzkarne, bydliska alebo adresu miesta, kde sa obvykle zdržiava, a jej identifikačné číslo pre daň, pod ktorým tovar alebo službu dodala, alebo meno a priezvisko príjemcu tovaru alebo služby alebo názov príjemcu tovaru alebo služby, adresu jeho sídla, miesta podnikania, prevádzkarne, bydliska alebo adresu miesta, kde sa obvykle zdržiava, a jeho identifikačné číslo pre daň </w:t>
      </w:r>
      <w:r w:rsidRPr="00BC506B">
        <w:rPr>
          <w:rFonts w:ascii="Palatino Linotype" w:hAnsi="Palatino Linotype"/>
          <w:bCs/>
          <w:sz w:val="22"/>
          <w:szCs w:val="22"/>
          <w:shd w:val="clear" w:color="auto" w:fill="FAFBFF"/>
        </w:rPr>
        <w:t xml:space="preserve">pod ktorým mu bol dodaný tovar alebo pod ktorým mu bola dodaná služba </w:t>
      </w:r>
      <w:r w:rsidRPr="00BC506B">
        <w:rPr>
          <w:rFonts w:ascii="Palatino Linotype" w:eastAsia="Calibri" w:hAnsi="Palatino Linotype"/>
          <w:sz w:val="22"/>
          <w:szCs w:val="22"/>
          <w:lang w:eastAsia="sk-SK"/>
        </w:rPr>
        <w:t>číslo bankového účtu fyzickej osoby.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A04F92" w:rsidRPr="002A0C2A" w:rsidRDefault="00A04F92" w:rsidP="002A0C2A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Dotknuté osoby:</w:t>
      </w:r>
    </w:p>
    <w:p w:rsidR="00AA08F0" w:rsidRPr="002A0C2A" w:rsidRDefault="00A04F92" w:rsidP="002A0C2A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2A0C2A">
        <w:rPr>
          <w:rFonts w:ascii="Palatino Linotype" w:eastAsia="Calibri" w:hAnsi="Palatino Linotype"/>
          <w:sz w:val="22"/>
          <w:szCs w:val="22"/>
          <w:lang w:eastAsia="sk-SK"/>
        </w:rPr>
        <w:t>Zamestnanci, zamestnanci dodávateľov tovaru a služieb, fyzické osoby, ktorým vznikla povinnosť uhradiť dodanú službu</w:t>
      </w:r>
      <w:r w:rsidR="00BC506B">
        <w:rPr>
          <w:rFonts w:ascii="Palatino Linotype" w:eastAsia="Calibri" w:hAnsi="Palatino Linotype"/>
          <w:sz w:val="22"/>
          <w:szCs w:val="22"/>
          <w:lang w:eastAsia="sk-SK"/>
        </w:rPr>
        <w:t>.</w:t>
      </w:r>
    </w:p>
    <w:p w:rsidR="00AA08F0" w:rsidRPr="002A0C2A" w:rsidRDefault="00AA08F0" w:rsidP="002A0C2A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</w:p>
    <w:p w:rsidR="00A04F92" w:rsidRPr="002A0C2A" w:rsidRDefault="00A04F92" w:rsidP="002A0C2A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Obchodné podmienky nákupov a dodávok- 5 rokov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Obchodné príležitosti (vyhľadávanie)- 2 roky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Dopyty- 5 rokov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Ponuky- 3 roky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Ceny- 3 roky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Zákazníci- 3 roky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Obchodné zmluvy a dohody- 5 rokov (po strate platnosti zmluvy alebo dohody)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Faktúry- 10 rokov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Kniha doručených a odoslaných faktúr alebo iná evidenčná pomôcka- 10 rokov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Dodávateľské a a odberateľské dokumenty (jednotlivo)- 10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Kniha objednávok- 10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Výdajky a prevodky- 5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Odvody do fondov (mesačne)- 10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Pokladničné doklady a knihy, vrátane limitu pokladničnej hotovosti- 10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Účtovníctvo,  ročná účtovná závierka, hlavná kniha- 10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Bankové doklady (vrátane výpisov a hromadných prevodných príkazov)- 10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Bankové výpisy (bežného účtu, investičných prostriedkov, sociálneho fondu)- 10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Doklady súvisiace s evidenciou majetku, vrátane leasingu- 5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Colné hlásenia, styk s colnicami- 10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Porušenie finančnej a cenovej disciplíny- opatrenia- 5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Hospodárske zmluvy (dodávka energií)- 10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Skladová agenda (výdavky, príjemky)- 5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lastRenderedPageBreak/>
        <w:t>Telekomunikačná agenda (výpisy, záručné listy a pod.) vrátane správy mobilných telefónov, a </w:t>
      </w:r>
      <w:proofErr w:type="spellStart"/>
      <w:r w:rsidRPr="002A0C2A">
        <w:rPr>
          <w:rFonts w:ascii="Palatino Linotype" w:hAnsi="Palatino Linotype"/>
          <w:sz w:val="22"/>
          <w:szCs w:val="22"/>
        </w:rPr>
        <w:t>controllingu</w:t>
      </w:r>
      <w:proofErr w:type="spellEnd"/>
      <w:r w:rsidRPr="002A0C2A">
        <w:rPr>
          <w:rFonts w:ascii="Palatino Linotype" w:hAnsi="Palatino Linotype"/>
          <w:sz w:val="22"/>
          <w:szCs w:val="22"/>
        </w:rPr>
        <w:t>- 5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Nájomné zmluvy- 10 rokov,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 xml:space="preserve">Nákup strojov a zariadení- 5 rokov. 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A04F92" w:rsidRPr="002A0C2A" w:rsidRDefault="00A04F92" w:rsidP="002A0C2A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 xml:space="preserve">Spracúvanie osobných údajov za účelom oprávnených záujmov prevádzkovateľa sa nevykonáva. </w:t>
      </w:r>
    </w:p>
    <w:p w:rsidR="00A04F92" w:rsidRPr="002A0C2A" w:rsidRDefault="00A04F92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AA08F0" w:rsidRPr="002A0C2A" w:rsidRDefault="00AA08F0" w:rsidP="002A0C2A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Postup osobných údajov dotknutých osôb do tretích krajín:</w:t>
      </w:r>
    </w:p>
    <w:p w:rsidR="00AA08F0" w:rsidRPr="002A0C2A" w:rsidRDefault="00AA08F0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AA08F0" w:rsidRPr="002A0C2A" w:rsidRDefault="00AA08F0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AA08F0" w:rsidRPr="002A0C2A" w:rsidRDefault="00AA08F0" w:rsidP="002A0C2A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BC506B" w:rsidRDefault="00AA08F0" w:rsidP="00D81199">
      <w:pPr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</w:t>
      </w:r>
    </w:p>
    <w:p w:rsidR="00BC506B" w:rsidRPr="002A0C2A" w:rsidRDefault="00BC506B" w:rsidP="002A0C2A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A04F92" w:rsidRPr="002A0C2A" w:rsidRDefault="00A04F92" w:rsidP="002A0C2A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AA08F0" w:rsidRPr="002A0C2A" w:rsidRDefault="00AA08F0" w:rsidP="002A0C2A">
      <w:pPr>
        <w:pStyle w:val="Odstavecseseznamem"/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91"/>
        <w:gridCol w:w="4289"/>
      </w:tblGrid>
      <w:tr w:rsidR="00AA08F0" w:rsidRPr="002A0C2A" w:rsidTr="00D81199">
        <w:tc>
          <w:tcPr>
            <w:tcW w:w="4891" w:type="dxa"/>
            <w:shd w:val="clear" w:color="auto" w:fill="FFF2CC" w:themeFill="accent4" w:themeFillTint="33"/>
          </w:tcPr>
          <w:p w:rsidR="00AA08F0" w:rsidRPr="002A0C2A" w:rsidRDefault="00AA08F0" w:rsidP="002A0C2A">
            <w:pPr>
              <w:pStyle w:val="Odstavecseseznamem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289" w:type="dxa"/>
            <w:shd w:val="clear" w:color="auto" w:fill="FFF2CC" w:themeFill="accent4" w:themeFillTint="33"/>
          </w:tcPr>
          <w:p w:rsidR="00AA08F0" w:rsidRPr="002A0C2A" w:rsidRDefault="00AA08F0" w:rsidP="002A0C2A">
            <w:pPr>
              <w:pStyle w:val="Odstavecseseznamem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AA08F0" w:rsidRPr="002A0C2A" w:rsidTr="00D81199">
        <w:tc>
          <w:tcPr>
            <w:tcW w:w="4891" w:type="dxa"/>
            <w:shd w:val="clear" w:color="auto" w:fill="DEEAF6" w:themeFill="accent1" w:themeFillTint="33"/>
          </w:tcPr>
          <w:p w:rsidR="00AA08F0" w:rsidRPr="002A0C2A" w:rsidRDefault="00AA08F0" w:rsidP="002A0C2A">
            <w:pPr>
              <w:pStyle w:val="Odstavecseseznamem"/>
              <w:autoSpaceDE w:val="0"/>
              <w:ind w:left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sz w:val="22"/>
                <w:szCs w:val="22"/>
              </w:rPr>
              <w:t>Daňový úrad</w:t>
            </w:r>
          </w:p>
        </w:tc>
        <w:tc>
          <w:tcPr>
            <w:tcW w:w="4289" w:type="dxa"/>
            <w:shd w:val="clear" w:color="auto" w:fill="DEEAF6" w:themeFill="accent1" w:themeFillTint="33"/>
          </w:tcPr>
          <w:p w:rsidR="00AA08F0" w:rsidRPr="002A0C2A" w:rsidRDefault="00AA08F0" w:rsidP="002A0C2A">
            <w:pPr>
              <w:pStyle w:val="Odstavecseseznamem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sz w:val="22"/>
                <w:szCs w:val="22"/>
              </w:rPr>
              <w:t>Zákon č. 595/2003 Z. z. o dani z príjmov v znení neskorších predpisov, zákon o dani z pridanej hodnoty 222/2004 Z. z.  v znení neskorších predpisov.</w:t>
            </w:r>
          </w:p>
        </w:tc>
      </w:tr>
      <w:tr w:rsidR="00AA08F0" w:rsidRPr="002A0C2A" w:rsidTr="00D81199">
        <w:tc>
          <w:tcPr>
            <w:tcW w:w="4891" w:type="dxa"/>
            <w:shd w:val="clear" w:color="auto" w:fill="DEEAF6" w:themeFill="accent1" w:themeFillTint="33"/>
          </w:tcPr>
          <w:p w:rsidR="00AA08F0" w:rsidRPr="002A0C2A" w:rsidRDefault="00AA08F0" w:rsidP="002A0C2A">
            <w:pPr>
              <w:pStyle w:val="Odstavecseseznamem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sz w:val="22"/>
                <w:szCs w:val="22"/>
              </w:rPr>
              <w:t>Iný oprávnený subjekt</w:t>
            </w:r>
          </w:p>
        </w:tc>
        <w:tc>
          <w:tcPr>
            <w:tcW w:w="4289" w:type="dxa"/>
            <w:shd w:val="clear" w:color="auto" w:fill="DEEAF6" w:themeFill="accent1" w:themeFillTint="33"/>
          </w:tcPr>
          <w:p w:rsidR="00AA08F0" w:rsidRPr="002A0C2A" w:rsidRDefault="00AA08F0" w:rsidP="002A0C2A">
            <w:pPr>
              <w:pStyle w:val="Odstavecseseznamem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2A0C2A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</w:tbl>
    <w:p w:rsidR="007F7443" w:rsidRPr="002A0C2A" w:rsidRDefault="007F7443" w:rsidP="002A0C2A">
      <w:pPr>
        <w:jc w:val="both"/>
        <w:rPr>
          <w:rFonts w:ascii="Palatino Linotype" w:hAnsi="Palatino Linotype"/>
          <w:sz w:val="22"/>
          <w:szCs w:val="22"/>
        </w:rPr>
      </w:pPr>
    </w:p>
    <w:p w:rsidR="002A0C2A" w:rsidRDefault="002A0C2A" w:rsidP="002A0C2A">
      <w:pPr>
        <w:pStyle w:val="Odstavecseseznamem"/>
        <w:numPr>
          <w:ilvl w:val="0"/>
          <w:numId w:val="2"/>
        </w:numPr>
        <w:spacing w:after="160" w:line="276" w:lineRule="auto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2A0C2A" w:rsidRPr="002A0C2A" w:rsidRDefault="002A0C2A" w:rsidP="002A0C2A">
      <w:pPr>
        <w:spacing w:after="16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sectPr w:rsidR="002A0C2A" w:rsidRPr="002A0C2A" w:rsidSect="00190D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31" w:rsidRDefault="00123431" w:rsidP="00AA08F0">
      <w:r>
        <w:separator/>
      </w:r>
    </w:p>
  </w:endnote>
  <w:endnote w:type="continuationSeparator" w:id="0">
    <w:p w:rsidR="00123431" w:rsidRDefault="00123431" w:rsidP="00AA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31" w:rsidRDefault="00123431" w:rsidP="00AA08F0">
      <w:r>
        <w:separator/>
      </w:r>
    </w:p>
  </w:footnote>
  <w:footnote w:type="continuationSeparator" w:id="0">
    <w:p w:rsidR="00123431" w:rsidRDefault="00123431" w:rsidP="00AA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F0" w:rsidRDefault="00AA08F0">
    <w:pPr>
      <w:pStyle w:val="Zhlav"/>
      <w:rPr>
        <w:rFonts w:ascii="Palatino Linotype" w:hAnsi="Palatino Linotype"/>
      </w:rPr>
    </w:pPr>
  </w:p>
  <w:p w:rsidR="00AA08F0" w:rsidRDefault="00AA08F0">
    <w:pPr>
      <w:pStyle w:val="Zhlav"/>
      <w:rPr>
        <w:rFonts w:ascii="Palatino Linotype" w:hAnsi="Palatino Linotype"/>
      </w:rPr>
    </w:pPr>
  </w:p>
  <w:p w:rsidR="007513AD" w:rsidRDefault="007513AD" w:rsidP="007513AD">
    <w:pPr>
      <w:pStyle w:val="Zhlav"/>
    </w:pPr>
    <w:r>
      <w:rPr>
        <w:rFonts w:ascii="Palatino Linotype" w:hAnsi="Palatino Linotype"/>
        <w:sz w:val="22"/>
        <w:szCs w:val="22"/>
      </w:rPr>
      <w:t>Informačná povinnosť</w:t>
    </w:r>
    <w:r w:rsidR="00D75448">
      <w:rPr>
        <w:rFonts w:ascii="Palatino Linotype" w:hAnsi="Palatino Linotype"/>
        <w:sz w:val="22"/>
        <w:szCs w:val="22"/>
      </w:rPr>
      <w:tab/>
    </w:r>
    <w:r>
      <w:rPr>
        <w:rFonts w:ascii="Palatino Linotype" w:hAnsi="Palatino Linotype"/>
        <w:sz w:val="22"/>
        <w:szCs w:val="22"/>
      </w:rPr>
      <w:tab/>
    </w:r>
    <w:r>
      <w:rPr>
        <w:noProof/>
        <w:lang w:eastAsia="sk-SK"/>
      </w:rPr>
      <w:drawing>
        <wp:inline distT="0" distB="0" distL="0" distR="0" wp14:anchorId="6E2F1F8D" wp14:editId="20DA458F">
          <wp:extent cx="1066800" cy="1076325"/>
          <wp:effectExtent l="0" t="0" r="0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08F0" w:rsidRDefault="00AA08F0" w:rsidP="007513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1C6"/>
    <w:multiLevelType w:val="hybridMultilevel"/>
    <w:tmpl w:val="C5E20A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0CAE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786A4D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614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0B11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F52545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18EC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52438B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2E"/>
    <w:rsid w:val="00081686"/>
    <w:rsid w:val="00123431"/>
    <w:rsid w:val="00190D33"/>
    <w:rsid w:val="001B0485"/>
    <w:rsid w:val="002A0C2A"/>
    <w:rsid w:val="0059262E"/>
    <w:rsid w:val="00607709"/>
    <w:rsid w:val="00613519"/>
    <w:rsid w:val="007513AD"/>
    <w:rsid w:val="007F7443"/>
    <w:rsid w:val="008067E4"/>
    <w:rsid w:val="008B26D2"/>
    <w:rsid w:val="009208E5"/>
    <w:rsid w:val="009E2DBA"/>
    <w:rsid w:val="00A04F92"/>
    <w:rsid w:val="00A70C8A"/>
    <w:rsid w:val="00AA08F0"/>
    <w:rsid w:val="00B645B9"/>
    <w:rsid w:val="00B977EB"/>
    <w:rsid w:val="00BC506B"/>
    <w:rsid w:val="00D75448"/>
    <w:rsid w:val="00D81199"/>
    <w:rsid w:val="00FF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62E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C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0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08F0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0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8F0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A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F744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6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86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62E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C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08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08F0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08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8F0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A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F744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6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86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Baška</dc:creator>
  <cp:lastModifiedBy>my</cp:lastModifiedBy>
  <cp:revision>2</cp:revision>
  <dcterms:created xsi:type="dcterms:W3CDTF">2020-04-28T11:57:00Z</dcterms:created>
  <dcterms:modified xsi:type="dcterms:W3CDTF">2020-04-28T11:57:00Z</dcterms:modified>
</cp:coreProperties>
</file>